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7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00" w:hRule="atLeast"/>
          <w:tblCellSpacing w:w="0" w:type="dxa"/>
          <w:jc w:val="center"/>
        </w:trPr>
        <w:tc>
          <w:tcPr>
            <w:tcW w:w="0" w:type="auto"/>
            <w:shd w:val="clear" w:color="auto" w:fill="FFFFFF"/>
            <w:vAlign w:val="center"/>
          </w:tcPr>
          <w:p>
            <w:pPr>
              <w:keepNext w:val="0"/>
              <w:keepLines w:val="0"/>
              <w:widowControl/>
              <w:suppressLineNumbers w:val="0"/>
              <w:spacing w:line="390" w:lineRule="atLeast"/>
              <w:jc w:val="center"/>
              <w:rPr>
                <w:rFonts w:ascii="微软雅黑" w:hAnsi="微软雅黑" w:eastAsia="微软雅黑" w:cs="微软雅黑"/>
                <w:caps w:val="0"/>
                <w:color w:val="262626"/>
                <w:spacing w:val="0"/>
                <w:sz w:val="18"/>
                <w:szCs w:val="18"/>
              </w:rPr>
            </w:pPr>
            <w:r>
              <w:rPr>
                <w:rFonts w:hint="eastAsia" w:ascii="微软雅黑" w:hAnsi="微软雅黑" w:eastAsia="微软雅黑" w:cs="微软雅黑"/>
                <w:b/>
                <w:bCs/>
                <w:caps w:val="0"/>
                <w:color w:val="262626"/>
                <w:spacing w:val="0"/>
                <w:kern w:val="0"/>
                <w:sz w:val="30"/>
                <w:szCs w:val="30"/>
                <w:lang w:val="en-US" w:eastAsia="zh-CN" w:bidi="ar"/>
              </w:rPr>
              <w:t>基于复合视频 HD-SDI的双光融合处理平台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0" w:type="auto"/>
            <w:shd w:val="clear" w:color="auto" w:fill="FFFFFF"/>
            <w:vAlign w:val="center"/>
          </w:tcPr>
          <w:tbl>
            <w:tblPr>
              <w:tblW w:w="4700"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jc w:val="center"/>
              </w:trPr>
              <w:tc>
                <w:tcPr>
                  <w:tcW w:w="0" w:type="auto"/>
                  <w:shd w:val="clear" w:color="auto" w:fill="FFFFFF"/>
                  <w:vAlign w:val="center"/>
                </w:tcPr>
                <w:p>
                  <w:pPr>
                    <w:pStyle w:val="3"/>
                    <w:keepNext w:val="0"/>
                    <w:keepLines w:val="0"/>
                    <w:widowControl/>
                    <w:suppressLineNumbers w:val="0"/>
                    <w:spacing w:line="390" w:lineRule="atLeast"/>
                    <w:jc w:val="center"/>
                  </w:pPr>
                  <w:bookmarkStart w:id="2" w:name="_GoBack"/>
                  <w:r>
                    <w:rPr>
                      <w:rFonts w:hint="eastAsia" w:ascii="微软雅黑" w:hAnsi="微软雅黑" w:eastAsia="微软雅黑" w:cs="微软雅黑"/>
                      <w:color w:val="262626"/>
                      <w:sz w:val="20"/>
                      <w:szCs w:val="20"/>
                    </w:rPr>
                    <w:drawing>
                      <wp:inline distT="0" distB="0" distL="114300" distR="114300">
                        <wp:extent cx="5695315" cy="4222115"/>
                        <wp:effectExtent l="0" t="0" r="635" b="698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695315" cy="4222115"/>
                                </a:xfrm>
                                <a:prstGeom prst="rect">
                                  <a:avLst/>
                                </a:prstGeom>
                                <a:noFill/>
                                <a:ln w="9525">
                                  <a:noFill/>
                                </a:ln>
                              </pic:spPr>
                            </pic:pic>
                          </a:graphicData>
                        </a:graphic>
                      </wp:inline>
                    </w:drawing>
                  </w:r>
                  <w:bookmarkEnd w:id="2"/>
                </w:p>
                <w:p>
                  <w:pPr>
                    <w:keepNext w:val="0"/>
                    <w:keepLines w:val="0"/>
                    <w:widowControl/>
                    <w:suppressLineNumbers w:val="0"/>
                    <w:spacing w:line="390" w:lineRule="atLeast"/>
                    <w:jc w:val="left"/>
                    <w:rPr>
                      <w:rFonts w:hint="eastAsia" w:ascii="微软雅黑" w:hAnsi="微软雅黑" w:eastAsia="微软雅黑" w:cs="微软雅黑"/>
                      <w:color w:val="262626"/>
                      <w:sz w:val="18"/>
                      <w:szCs w:val="18"/>
                    </w:rPr>
                  </w:pPr>
                  <w:r>
                    <w:rPr>
                      <w:rFonts w:hint="eastAsia" w:ascii="微软雅黑" w:hAnsi="微软雅黑" w:eastAsia="微软雅黑" w:cs="微软雅黑"/>
                      <w:color w:val="262626"/>
                      <w:kern w:val="0"/>
                      <w:sz w:val="20"/>
                      <w:szCs w:val="20"/>
                      <w:lang w:val="en-US" w:eastAsia="zh-CN" w:bidi="ar"/>
                    </w:rPr>
                    <w:t> </w:t>
                  </w:r>
                </w:p>
                <w:p>
                  <w:pPr>
                    <w:keepNext w:val="0"/>
                    <w:keepLines w:val="0"/>
                    <w:widowControl/>
                    <w:suppressLineNumbers w:val="0"/>
                    <w:jc w:val="left"/>
                  </w:pPr>
                  <w:r>
                    <w:rPr>
                      <w:rFonts w:hint="eastAsia" w:ascii="微软雅黑" w:hAnsi="微软雅黑" w:eastAsia="微软雅黑" w:cs="微软雅黑"/>
                      <w:color w:val="262626"/>
                      <w:kern w:val="0"/>
                      <w:sz w:val="20"/>
                      <w:szCs w:val="20"/>
                      <w:lang w:val="en-US" w:eastAsia="zh-CN" w:bidi="ar"/>
                    </w:rPr>
                    <w:t> </w:t>
                  </w:r>
                </w:p>
                <w:p>
                  <w:pPr>
                    <w:pStyle w:val="2"/>
                    <w:keepNext w:val="0"/>
                    <w:keepLines w:val="0"/>
                    <w:widowControl/>
                    <w:suppressLineNumbers w:val="0"/>
                    <w:spacing w:line="390" w:lineRule="atLeast"/>
                  </w:pPr>
                  <w:bookmarkStart w:id="0" w:name="_Toc44234538"/>
                  <w:bookmarkEnd w:id="0"/>
                  <w:r>
                    <w:rPr>
                      <w:color w:val="262626"/>
                      <w:sz w:val="20"/>
                      <w:szCs w:val="20"/>
                    </w:rPr>
                    <w:t>一、双光融合处理平台概述</w:t>
                  </w:r>
                </w:p>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本平台主要红外、可见光图像跟踪、识别等产品开发公司提供一套完整的软硬件基础开发环境，通过完整的双光视觉平台硬件（包括摄像头、MPSOC核心板、接口板），理解整个图像传输、处理的硬件系统，通过整体的双光视觉软件（包括PL端固件程序、ARM端裸跑程序、PC机网络程序）理解视频的同步传输、AXI总线的中断、VDMA视频传输、网络LWIP协议栈、视频传输与视频显示等，深入理解底层数据流的传输过程、连续流中中断、内存管理机制，网络TCP/UDP IP机制。</w:t>
                  </w:r>
                </w:p>
                <w:p>
                  <w:pPr>
                    <w:pStyle w:val="2"/>
                    <w:keepNext w:val="0"/>
                    <w:keepLines w:val="0"/>
                    <w:widowControl/>
                    <w:suppressLineNumbers w:val="0"/>
                    <w:spacing w:line="390" w:lineRule="atLeast"/>
                  </w:pPr>
                  <w:r>
                    <w:rPr>
                      <w:color w:val="262626"/>
                      <w:sz w:val="20"/>
                      <w:szCs w:val="20"/>
                    </w:rPr>
                    <w:t>二、双光融合视觉软件内容</w:t>
                  </w:r>
                </w:p>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以厚实的软件代码内容及详细讲解带来远超开发板的价值。</w:t>
                  </w:r>
                </w:p>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双光融合视觉软件通过工程化的案例，以图像传输的过程，双路视频接入、转HD-SDI显示、AXI总线的VDMA视频传输、ARM的LWIP协议网络传输、PC的网络图像接入与显示通过完整的软件代码深度的介绍了视频传输体系。代码分模块学习和介绍如下：</w:t>
                  </w:r>
                </w:p>
                <w:p>
                  <w:pPr>
                    <w:pStyle w:val="3"/>
                    <w:keepNext w:val="0"/>
                    <w:keepLines w:val="0"/>
                    <w:widowControl/>
                    <w:suppressLineNumbers w:val="0"/>
                    <w:spacing w:line="390" w:lineRule="atLeast"/>
                    <w:jc w:val="center"/>
                  </w:pPr>
                  <w:r>
                    <w:rPr>
                      <w:rFonts w:hint="eastAsia" w:ascii="微软雅黑" w:hAnsi="微软雅黑" w:eastAsia="微软雅黑" w:cs="微软雅黑"/>
                      <w:color w:val="262626"/>
                      <w:sz w:val="20"/>
                      <w:szCs w:val="20"/>
                    </w:rPr>
                    <w:drawing>
                      <wp:inline distT="0" distB="0" distL="114300" distR="114300">
                        <wp:extent cx="5095875" cy="2559050"/>
                        <wp:effectExtent l="0" t="0" r="9525" b="1270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095875" cy="2559050"/>
                                </a:xfrm>
                                <a:prstGeom prst="rect">
                                  <a:avLst/>
                                </a:prstGeom>
                                <a:noFill/>
                                <a:ln w="9525">
                                  <a:noFill/>
                                </a:ln>
                              </pic:spPr>
                            </pic:pic>
                          </a:graphicData>
                        </a:graphic>
                      </wp:inline>
                    </w:drawing>
                  </w:r>
                </w:p>
                <w:p>
                  <w:pPr>
                    <w:keepNext w:val="0"/>
                    <w:keepLines w:val="0"/>
                    <w:widowControl/>
                    <w:suppressLineNumbers w:val="0"/>
                    <w:jc w:val="left"/>
                  </w:pPr>
                  <w:r>
                    <w:rPr>
                      <w:rFonts w:hint="eastAsia" w:ascii="微软雅黑" w:hAnsi="微软雅黑" w:eastAsia="微软雅黑" w:cs="微软雅黑"/>
                      <w:color w:val="262626"/>
                      <w:kern w:val="0"/>
                      <w:sz w:val="20"/>
                      <w:szCs w:val="20"/>
                      <w:lang w:val="en-US" w:eastAsia="zh-CN" w:bidi="ar"/>
                    </w:rPr>
                    <w:t> </w:t>
                  </w:r>
                </w:p>
                <w:p>
                  <w:pPr>
                    <w:pStyle w:val="3"/>
                    <w:keepNext w:val="0"/>
                    <w:keepLines w:val="0"/>
                    <w:widowControl/>
                    <w:suppressLineNumbers w:val="0"/>
                    <w:spacing w:line="390" w:lineRule="atLeast"/>
                  </w:pPr>
                  <w:r>
                    <w:rPr>
                      <w:rFonts w:hint="eastAsia" w:ascii="微软雅黑" w:hAnsi="微软雅黑" w:eastAsia="微软雅黑" w:cs="微软雅黑"/>
                      <w:color w:val="262626"/>
                      <w:sz w:val="18"/>
                      <w:szCs w:val="18"/>
                    </w:rPr>
                    <w:t> </w:t>
                  </w:r>
                </w:p>
                <w:tbl>
                  <w:tblPr>
                    <w:tblW w:w="0" w:type="auto"/>
                    <w:tblCellSpacing w:w="7"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29"/>
                    <w:gridCol w:w="1836"/>
                    <w:gridCol w:w="59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1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序号</w:t>
                        </w:r>
                      </w:p>
                    </w:tc>
                    <w:tc>
                      <w:tcPr>
                        <w:tcW w:w="183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程序名称</w:t>
                        </w:r>
                      </w:p>
                    </w:tc>
                    <w:tc>
                      <w:tcPr>
                        <w:tcW w:w="594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程序内容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7" w:type="dxa"/>
                    </w:trPr>
                    <w:tc>
                      <w:tcPr>
                        <w:tcW w:w="51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1</w:t>
                        </w:r>
                      </w:p>
                    </w:tc>
                    <w:tc>
                      <w:tcPr>
                        <w:tcW w:w="183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双光视频PL端图像接入</w:t>
                        </w:r>
                      </w:p>
                    </w:tc>
                    <w:tc>
                      <w:tcPr>
                        <w:tcW w:w="594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通过PL接入双路相机视频，体会行场分辨率等概念，了解双目同步的特点。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7" w:type="dxa"/>
                    </w:trPr>
                    <w:tc>
                      <w:tcPr>
                        <w:tcW w:w="51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2</w:t>
                        </w:r>
                      </w:p>
                    </w:tc>
                    <w:tc>
                      <w:tcPr>
                        <w:tcW w:w="183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单路HD-SDI视频转HD-SDI示实验</w:t>
                        </w:r>
                      </w:p>
                    </w:tc>
                    <w:tc>
                      <w:tcPr>
                        <w:tcW w:w="594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通过PL端的代码学习视频显示的数据 特征，RGB信号特点，数据与显示的对应关系。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7" w:type="dxa"/>
                    </w:trPr>
                    <w:tc>
                      <w:tcPr>
                        <w:tcW w:w="51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3</w:t>
                        </w:r>
                      </w:p>
                    </w:tc>
                    <w:tc>
                      <w:tcPr>
                        <w:tcW w:w="183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AXI总线的VDMA图像传输</w:t>
                        </w:r>
                      </w:p>
                    </w:tc>
                    <w:tc>
                      <w:tcPr>
                        <w:tcW w:w="594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通过PL端程序和PS端的交互，了解视频帧传输的DMA传输机制，DDR缓存，中断交互关系，连续图像存储和算法应用的数据流机制。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blCellSpacing w:w="7" w:type="dxa"/>
                    </w:trPr>
                    <w:tc>
                      <w:tcPr>
                        <w:tcW w:w="51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4</w:t>
                        </w:r>
                      </w:p>
                    </w:tc>
                    <w:tc>
                      <w:tcPr>
                        <w:tcW w:w="183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ARM的LWIP网络传输实验</w:t>
                        </w:r>
                      </w:p>
                    </w:tc>
                    <w:tc>
                      <w:tcPr>
                        <w:tcW w:w="594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基于裸跑的C程序代码如何完整呈现UDP/TCP，IP协议数据收发，网络组包机制和传输机制，图像网络传输数据组包协议。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1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5</w:t>
                        </w:r>
                      </w:p>
                    </w:tc>
                    <w:tc>
                      <w:tcPr>
                        <w:tcW w:w="183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双光视频网络PC传输实验</w:t>
                        </w:r>
                      </w:p>
                    </w:tc>
                    <w:tc>
                      <w:tcPr>
                        <w:tcW w:w="5940" w:type="dxa"/>
                        <w:shd w:val="clear" w:color="auto" w:fill="FFFFFF"/>
                        <w:vAlign w:val="center"/>
                      </w:tcPr>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上位机的QT程序，如何网络接收图像数据，实现网络协议的解析，数据流缓存机制，显示器连续图像显示与连续接收包的互动关系。</w:t>
                        </w:r>
                      </w:p>
                    </w:tc>
                  </w:tr>
                </w:tbl>
                <w:p>
                  <w:pPr>
                    <w:pStyle w:val="2"/>
                    <w:keepNext w:val="0"/>
                    <w:keepLines w:val="0"/>
                    <w:widowControl/>
                    <w:suppressLineNumbers w:val="0"/>
                    <w:spacing w:line="390" w:lineRule="atLeast"/>
                  </w:pPr>
                  <w:bookmarkStart w:id="1" w:name="_Toc44234539"/>
                  <w:bookmarkEnd w:id="1"/>
                  <w:r>
                    <w:rPr>
                      <w:color w:val="262626"/>
                      <w:sz w:val="20"/>
                      <w:szCs w:val="20"/>
                    </w:rPr>
                    <w:t>三、双光融合视觉平台硬件介绍</w:t>
                  </w:r>
                </w:p>
                <w:p>
                  <w:pPr>
                    <w:pStyle w:val="3"/>
                    <w:keepNext w:val="0"/>
                    <w:keepLines w:val="0"/>
                    <w:widowControl/>
                    <w:suppressLineNumbers w:val="0"/>
                    <w:spacing w:line="390" w:lineRule="atLeast"/>
                    <w:jc w:val="center"/>
                  </w:pPr>
                  <w:r>
                    <w:rPr>
                      <w:rFonts w:hint="eastAsia" w:ascii="微软雅黑" w:hAnsi="微软雅黑" w:eastAsia="微软雅黑" w:cs="微软雅黑"/>
                      <w:color w:val="262626"/>
                      <w:sz w:val="20"/>
                      <w:szCs w:val="20"/>
                    </w:rPr>
                    <w:drawing>
                      <wp:inline distT="0" distB="0" distL="114300" distR="114300">
                        <wp:extent cx="5315585" cy="2669540"/>
                        <wp:effectExtent l="0" t="0" r="18415" b="1651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315585" cy="2669540"/>
                                </a:xfrm>
                                <a:prstGeom prst="rect">
                                  <a:avLst/>
                                </a:prstGeom>
                                <a:noFill/>
                                <a:ln w="9525">
                                  <a:noFill/>
                                </a:ln>
                              </pic:spPr>
                            </pic:pic>
                          </a:graphicData>
                        </a:graphic>
                      </wp:inline>
                    </w:drawing>
                  </w:r>
                </w:p>
                <w:p>
                  <w:pPr>
                    <w:keepNext w:val="0"/>
                    <w:keepLines w:val="0"/>
                    <w:widowControl/>
                    <w:suppressLineNumbers w:val="0"/>
                    <w:jc w:val="left"/>
                  </w:pPr>
                  <w:r>
                    <w:rPr>
                      <w:rFonts w:hint="eastAsia" w:ascii="微软雅黑" w:hAnsi="微软雅黑" w:eastAsia="微软雅黑" w:cs="微软雅黑"/>
                      <w:color w:val="262626"/>
                      <w:kern w:val="0"/>
                      <w:sz w:val="20"/>
                      <w:szCs w:val="20"/>
                      <w:lang w:val="en-US" w:eastAsia="zh-CN" w:bidi="ar"/>
                    </w:rPr>
                    <w:t> </w:t>
                  </w:r>
                </w:p>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本硬件通过FMC连接器互联核心板和接口卡。</w:t>
                  </w:r>
                </w:p>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核心板基于Xilinx公司SoC架构（ARM+FPGA）XC7Z100芯片设计的一款FMC接口板卡。板卡支持千兆以太网、USB2.0、UART等接口，存储设备采用4Gb容量的DDR3*2、512Mb QSPI FLASH、8GB EMMC、SD卡等。</w:t>
                  </w:r>
                </w:p>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Base camera link及HD-SDI接口卡具有丰富的视频、控制、网口接口资源，集成了1路Base camera link、1路HD-SDI输入，1路HD-SDI输出；1路SD卡、1路USB口、1路UART-RS422、1路千兆网、1路JTAG调试等接口。</w:t>
                  </w:r>
                </w:p>
                <w:p>
                  <w:pPr>
                    <w:pStyle w:val="3"/>
                    <w:keepNext w:val="0"/>
                    <w:keepLines w:val="0"/>
                    <w:widowControl/>
                    <w:suppressLineNumbers w:val="0"/>
                    <w:spacing w:line="390" w:lineRule="atLeast"/>
                  </w:pPr>
                  <w:r>
                    <w:rPr>
                      <w:rFonts w:hint="eastAsia" w:ascii="微软雅黑" w:hAnsi="微软雅黑" w:eastAsia="微软雅黑" w:cs="微软雅黑"/>
                      <w:color w:val="262626"/>
                      <w:sz w:val="20"/>
                      <w:szCs w:val="20"/>
                    </w:rPr>
                    <w:t>上下板卡通过FMC连接器对扣，整板尺寸80 mm x 76 mm；板卡工业级，工作温度支持-40~80℃。</w:t>
                  </w:r>
                </w:p>
              </w:tc>
            </w:tr>
          </w:tbl>
          <w:p>
            <w:pPr>
              <w:spacing w:line="390" w:lineRule="atLeast"/>
              <w:rPr>
                <w:rFonts w:hint="eastAsia" w:ascii="微软雅黑" w:hAnsi="微软雅黑" w:eastAsia="微软雅黑" w:cs="微软雅黑"/>
                <w:caps w:val="0"/>
                <w:color w:val="262626"/>
                <w:spacing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F21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2022-04-06T08:43:52Z</dcterms:created>
  <dc:creator>44846</dc:creator>
  <cp:lastModifiedBy>荷塘月色</cp:lastModifiedBy>
  <dcterms:modified xsi:type="dcterms:W3CDTF">2022-04-06T08:44:53Z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A938605CCE784B419766968FC480DEDC</vt:lpwstr>
  </property>
</Properties>
</file>