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655C7" w:rsidRPr="009655C7" w14:paraId="004D5439" w14:textId="77777777" w:rsidTr="009655C7">
        <w:trPr>
          <w:trHeight w:val="12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9063B1" w14:textId="77777777" w:rsidR="009655C7" w:rsidRPr="009655C7" w:rsidRDefault="009655C7" w:rsidP="009655C7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 w:val="18"/>
                <w:szCs w:val="18"/>
              </w:rPr>
            </w:pPr>
            <w:r w:rsidRPr="009655C7">
              <w:rPr>
                <w:rFonts w:ascii="微软雅黑" w:eastAsia="微软雅黑" w:hAnsi="微软雅黑" w:cs="宋体" w:hint="eastAsia"/>
                <w:b/>
                <w:bCs/>
                <w:color w:val="262626"/>
                <w:kern w:val="0"/>
                <w:sz w:val="30"/>
                <w:szCs w:val="30"/>
              </w:rPr>
              <w:t>8路SATAII 6U VPX高速存储模块</w:t>
            </w:r>
          </w:p>
        </w:tc>
      </w:tr>
      <w:tr w:rsidR="009655C7" w:rsidRPr="009655C7" w14:paraId="264B460D" w14:textId="77777777" w:rsidTr="009655C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655C7" w:rsidRPr="009655C7" w14:paraId="2B570A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4B6CB" w14:textId="7595A68F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/>
                      <w:noProof/>
                      <w:color w:val="26262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733E63D5" wp14:editId="2E4DB140">
                        <wp:extent cx="5274310" cy="3917315"/>
                        <wp:effectExtent l="0" t="0" r="2540" b="6985"/>
                        <wp:docPr id="4" name="图片 4" descr="8路,SATAII,VPX,高速存储模块,车载,工控,视频监控,网络监控,网络终端,电力,医疗,航空,导航设备,VPX,VPX板卡,VPX开发板,VPX技术,VPX总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路,SATAII,VPX,高速存储模块,车载,工控,视频监控,网络监控,网络终端,电力,医疗,航空,导航设备,VPX,VPX板卡,VPX开发板,VPX技术,VPX总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391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056A68" w14:textId="77777777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 </w:t>
                  </w:r>
                </w:p>
                <w:p w14:paraId="45CFE5C8" w14:textId="1CD02409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/>
                      <w:noProof/>
                      <w:color w:val="26262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3B88DA31" wp14:editId="613F57C9">
                        <wp:extent cx="4656584" cy="2982546"/>
                        <wp:effectExtent l="0" t="0" r="0" b="889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9840" cy="2984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AF06DE" w14:textId="77777777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lastRenderedPageBreak/>
                    <w:t xml:space="preserve">　　</w:t>
                  </w:r>
                </w:p>
                <w:p w14:paraId="7CA74AFC" w14:textId="09547B0C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 xml:space="preserve">　　8路SATAII 6U VPX高速存储模块主要包括存储模块母卡和SATA SSD，母卡上包括8个SATAII接插件，可并联挂载8块SATAII SSD组成存储阵列。单个SATAII SSD可配置容量为128GB-512GB（SLC存储介质）或256GB-1TB（MLC存储介质），单板总容量</w:t>
                  </w:r>
                  <w:r w:rsidRPr="009655C7">
                    <w:rPr>
                      <w:rFonts w:ascii="微软雅黑" w:eastAsia="微软雅黑" w:hAnsi="微软雅黑" w:cs="宋体"/>
                      <w:noProof/>
                      <w:color w:val="26262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0C274E5D" wp14:editId="54A2EC6A">
                        <wp:extent cx="140970" cy="114300"/>
                        <wp:effectExtent l="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大可达到4TB（SLC）、8TB（MLC）。每块SSD硬盘读或写速率≥200MB/s，单个存储模块读或写速率≥1.5GB/s。高速存储模块利用VPX高速互联特点和模块化的设计思想，降低系统的耦合度，提高系统的稳定可靠性。高速存储模块原理框图如下图所示：</w:t>
                  </w: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br/>
                    <w:t xml:space="preserve">　　高速存储模块将通过VPX的高速接插件，经过背板互联总线接入到处理控制板的FPGA高速Serdes接口，由FPGA实现SATA2.0接口协议，并行操作访问多块SSD硬盘。与FPGA直接操作NAND FLASH的方案相比，免去了对NAND FLASH坏块管理、存储单元均衡使用、ECC校验等诸多复杂的工作，开发难度降低，模块稳定性大大提高。</w:t>
                  </w: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br/>
                    <w:t>高速存储模块可依据处理控制板的FPGA高速Serdes接口数量进行多模块并联扩展，实现存储容量和读写速率的提升。</w:t>
                  </w: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br/>
                    <w:t xml:space="preserve">　　高速存储模块存储介质采用稳定可靠的SATA2.0接口的固态硬盘SSD来实现。SATA2.0接口是传输速率达到3Gbps的串行接口，读写速率理论上可以支持到300MByte/s，采用点对点结构和8b/10b编码技术，硬件连接简单，同时还支持NCQ（本地命令队列）、端口复用器、交错启动、热插拔等功能,在硬盘领域被广泛采用。</w:t>
                  </w: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br/>
                    <w:t xml:space="preserve">　　SATA2.0协议分为四层架构：物理层、链路层、传输层和应用层。应用层负责所有ATA命令的执行和控制命令块寄存器的访问。传输</w:t>
                  </w:r>
                  <w:proofErr w:type="gramStart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层负责</w:t>
                  </w:r>
                  <w:proofErr w:type="gramEnd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把控制信息和数据放入在主机和设备之间传输的包或者</w:t>
                  </w:r>
                  <w:proofErr w:type="gramStart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帧</w:t>
                  </w:r>
                  <w:proofErr w:type="gramEnd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里面，这种</w:t>
                  </w:r>
                  <w:proofErr w:type="gramStart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帧被称为帧</w:t>
                  </w:r>
                  <w:proofErr w:type="gramEnd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信息结构（FIS Frame Information Structure）。链路</w:t>
                  </w:r>
                  <w:proofErr w:type="gramStart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层负责</w:t>
                  </w:r>
                  <w:proofErr w:type="gramEnd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从帧里面取出数据，使用8b/10b编码或者解码每个字节，并且插入控制字符使得10比特的数据流能够被正确解码。物理层负责通过串行数据流的方式发送和接受已经被加密的信息。SATA2.0体系结构如下图所示：</w:t>
                  </w:r>
                </w:p>
                <w:p w14:paraId="38F4ABAB" w14:textId="77777777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 </w:t>
                  </w:r>
                </w:p>
                <w:p w14:paraId="1D6A9E5B" w14:textId="1E080593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/>
                      <w:noProof/>
                      <w:color w:val="26262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5AF600FA" wp14:editId="79DF8E1B">
                        <wp:extent cx="4526516" cy="2212031"/>
                        <wp:effectExtent l="0" t="0" r="762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1694" cy="2214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49DDBB" w14:textId="77777777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lastRenderedPageBreak/>
                    <w:t xml:space="preserve">　　SSD固态硬盘（Solid State Disk）用固态电子存储芯片阵列而制成的硬盘，由控制单元和存储单元（FLASH芯片、DRAM芯片）组成。固态硬盘的接口规范和定义、功能及使用方法上与普通硬盘的完全相同，在产品外形和尺寸上也完全与普通硬盘一致。因读写速度快、防震、抗摔、低功耗等诸多优点，广泛应用于车载、工控、视频监控、网络监控、网络终端、电力、医疗、航空、导航设备等领域。</w:t>
                  </w:r>
                </w:p>
                <w:p w14:paraId="12CC0C27" w14:textId="77777777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注：</w:t>
                  </w:r>
                </w:p>
                <w:p w14:paraId="38FAF701" w14:textId="77777777" w:rsidR="009655C7" w:rsidRPr="009655C7" w:rsidRDefault="009655C7" w:rsidP="009655C7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产品标准工作温度为0℃-70℃。</w:t>
                  </w:r>
                </w:p>
                <w:p w14:paraId="0EE2BC1B" w14:textId="77777777" w:rsidR="009655C7" w:rsidRPr="009655C7" w:rsidRDefault="009655C7" w:rsidP="009655C7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 xml:space="preserve">　 ２.</w:t>
                  </w:r>
                  <w:proofErr w:type="gramStart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宽温产品</w:t>
                  </w:r>
                  <w:proofErr w:type="gramEnd"/>
                  <w:r w:rsidRPr="009655C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的容量、速率等规格请咨询技术工程师</w:t>
                  </w:r>
                </w:p>
              </w:tc>
            </w:tr>
          </w:tbl>
          <w:p w14:paraId="4527E364" w14:textId="77777777" w:rsidR="009655C7" w:rsidRPr="009655C7" w:rsidRDefault="009655C7" w:rsidP="009655C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</w:p>
        </w:tc>
      </w:tr>
    </w:tbl>
    <w:p w14:paraId="5AA9F398" w14:textId="77777777" w:rsidR="002B3D28" w:rsidRPr="009655C7" w:rsidRDefault="002B3D28"/>
    <w:sectPr w:rsidR="002B3D28" w:rsidRPr="0096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56B2"/>
    <w:multiLevelType w:val="multilevel"/>
    <w:tmpl w:val="4F3E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4"/>
    <w:rsid w:val="002B3D28"/>
    <w:rsid w:val="009655C7"/>
    <w:rsid w:val="00F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D7074-4C25-4A22-B1C5-D7C0E82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0">
    <w:name w:val="t20"/>
    <w:basedOn w:val="a0"/>
    <w:rsid w:val="009655C7"/>
  </w:style>
  <w:style w:type="paragraph" w:styleId="a3">
    <w:name w:val="Normal (Web)"/>
    <w:basedOn w:val="a"/>
    <w:uiPriority w:val="99"/>
    <w:semiHidden/>
    <w:unhideWhenUsed/>
    <w:rsid w:val="00965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448468544@qq.com</dc:creator>
  <cp:keywords/>
  <dc:description/>
  <cp:lastModifiedBy>448468544@qq.com</cp:lastModifiedBy>
  <cp:revision>3</cp:revision>
  <dcterms:created xsi:type="dcterms:W3CDTF">2022-03-07T06:43:00Z</dcterms:created>
  <dcterms:modified xsi:type="dcterms:W3CDTF">2022-03-07T06:44:00Z</dcterms:modified>
</cp:coreProperties>
</file>